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0C" w:rsidRDefault="0090250C" w:rsidP="0090250C">
      <w:r>
        <w:t xml:space="preserve">Единый перечень товаров, подлежащих государственной регистрации, утверждён Решением Комиссии Таможенного Союза от 28 мая 2010 г. № 299. Согласно Решению Комиссии СГР следует получать на следующие категории продукции: </w:t>
      </w:r>
      <w:bookmarkStart w:id="0" w:name="_GoBack"/>
      <w:bookmarkEnd w:id="0"/>
    </w:p>
    <w:p w:rsidR="0090250C" w:rsidRDefault="0090250C" w:rsidP="0090250C">
      <w:pPr>
        <w:pStyle w:val="a3"/>
        <w:numPr>
          <w:ilvl w:val="0"/>
          <w:numId w:val="1"/>
        </w:numPr>
      </w:pPr>
      <w:r w:rsidRPr="0090250C">
        <w:t>Детская одежда.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>Некоторые косметические товары:</w:t>
      </w:r>
      <w:r>
        <w:t xml:space="preserve"> средства от загара и для загара, краска для волос, средства интимной гигиены, детская косметика, средства гигиены для полости рта и др.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Бытовая химия.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Бытовые и лечебно-профилактические дезинфицирующие, дезинсекционные и </w:t>
      </w:r>
      <w:proofErr w:type="spellStart"/>
      <w:r>
        <w:t>дератизационные</w:t>
      </w:r>
      <w:proofErr w:type="spellEnd"/>
      <w:r>
        <w:t xml:space="preserve"> средства для человека.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Потенциально опасные для человека химические и биологические вещества и препараты (кроме лекарственных средств).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Биологические активные добавки (БАДы).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Детское питание.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Продукты питания, содержащие ГМО.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Контактная упаковка для пищевых продуктов.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Минеральная вода. </w:t>
      </w:r>
    </w:p>
    <w:p w:rsidR="0090250C" w:rsidRDefault="0090250C" w:rsidP="0090250C">
      <w:pPr>
        <w:pStyle w:val="a3"/>
        <w:numPr>
          <w:ilvl w:val="0"/>
          <w:numId w:val="1"/>
        </w:numPr>
      </w:pPr>
      <w:r>
        <w:t xml:space="preserve">Специализированное питание (для детей, беременных, кормящих; диетическое, лечебное, спортивное и т.п.). </w:t>
      </w:r>
    </w:p>
    <w:p w:rsidR="00AB2DED" w:rsidRDefault="0090250C" w:rsidP="0090250C">
      <w:pPr>
        <w:pStyle w:val="a3"/>
        <w:numPr>
          <w:ilvl w:val="0"/>
          <w:numId w:val="1"/>
        </w:numPr>
      </w:pPr>
      <w:r>
        <w:t>Товары обихода для детей д</w:t>
      </w:r>
      <w:r>
        <w:t xml:space="preserve">о 3-х лет. </w:t>
      </w:r>
    </w:p>
    <w:sectPr w:rsidR="00AB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3D31"/>
    <w:multiLevelType w:val="hybridMultilevel"/>
    <w:tmpl w:val="A502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7"/>
    <w:rsid w:val="00892A9F"/>
    <w:rsid w:val="0090250C"/>
    <w:rsid w:val="00AB2DED"/>
    <w:rsid w:val="00E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E337"/>
  <w15:chartTrackingRefBased/>
  <w15:docId w15:val="{E65758B4-7629-4BC0-AA6B-586F8798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826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2023-03-14T18:32:00Z</dcterms:created>
  <dcterms:modified xsi:type="dcterms:W3CDTF">2023-03-14T18:34:00Z</dcterms:modified>
</cp:coreProperties>
</file>